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Times New Roman"/>
          <w:sz w:val="36"/>
          <w:szCs w:val="36"/>
          <w:lang w:eastAsia="zh-CN"/>
        </w:rPr>
      </w:pPr>
      <w:r>
        <w:rPr>
          <w:rFonts w:hint="eastAsia" w:ascii="宋体" w:hAnsi="宋体" w:cs="宋体"/>
          <w:caps w:val="0"/>
          <w:spacing w:val="0"/>
          <w:kern w:val="0"/>
          <w:sz w:val="36"/>
          <w:szCs w:val="36"/>
          <w:lang w:val="en-US" w:eastAsia="zh-CN" w:bidi="ar"/>
        </w:rPr>
        <w:t>许家庄居荒地各标段明细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标的二：位于村西沟原采石场、许传秀租地北，荒地面积约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1.16亩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：南北路，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：许传秀屋后，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：许传春承包地，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：东西路；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600元/年/亩，承包期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限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标的三：位于村西沟原采石场，荒地面积约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：石崖，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：地沿，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：石灵，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：东西路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；600元/年，承包期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限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标的四：位于村西沟原采石场，荒地面积约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：石灵，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：地沿，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：河沟，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：东西路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；700元/年，承包期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限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GEyNjdiZWUzZWQwNzVlMjkxYjgxOTAzNWY4MTQifQ=="/>
  </w:docVars>
  <w:rsids>
    <w:rsidRoot w:val="00000000"/>
    <w:rsid w:val="02D33F83"/>
    <w:rsid w:val="351A7DA9"/>
    <w:rsid w:val="6660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2024-05-16T02:05:00Z</dcterms:created>
  <dc:creator>Administrator</dc:creator>
  <cp:lastModifiedBy>黎明时分(金科)</cp:lastModifiedBy>
  <dcterms:modified xsi:type="dcterms:W3CDTF">2024-05-22T01:43:16Z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F22BE65DBF184A7F86450FAEDDFA3DD1_12</vt:lpwstr>
  </property>
</Properties>
</file>